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Do you like going to the woods? Charlie collects bits and pieces in the forest. Go on a walk and see what you can find.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The story takes us back to the Stone Age. What can you find out about life then? You could perhaps make a display in your classroom.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 xml:space="preserve">The deer tooth played a big part in the story. </w:t>
                            </w: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T</w:t>
                            </w: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ry making one from salt dough.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Create some cave paintings.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Do you like going to the woods? Charlie collects bits and pieces in the forest. Go on a walk and see what you can find.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The story takes us back to the Stone Age. What can you find out about life then? You could perhaps make a display in your classroom.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 xml:space="preserve">The deer tooth played a big part in the story. 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T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ry making one from salt dough.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Create some cave paintings.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jc w:val="left"/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The Wild Way Home by Sophie Kirtley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Activities for….</w:t>
                      </w:r>
                    </w:p>
                    <w:p>
                      <w:pPr>
                        <w:ind w:right="680"/>
                        <w:jc w:val="left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The Wild Way Home by Sophie Kirtley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3AE2004"/>
    <w:rsid w:val="08B01FB8"/>
    <w:rsid w:val="091876F2"/>
    <w:rsid w:val="0BB35BFC"/>
    <w:rsid w:val="0D9E221D"/>
    <w:rsid w:val="109E759F"/>
    <w:rsid w:val="1C936C46"/>
    <w:rsid w:val="1F5217C3"/>
    <w:rsid w:val="211C3C40"/>
    <w:rsid w:val="2B513941"/>
    <w:rsid w:val="31BD6D5B"/>
    <w:rsid w:val="3AB238CD"/>
    <w:rsid w:val="3D884B2C"/>
    <w:rsid w:val="453C0602"/>
    <w:rsid w:val="497B4F23"/>
    <w:rsid w:val="4D18607A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38</TotalTime>
  <ScaleCrop>false</ScaleCrop>
  <LinksUpToDate>false</LinksUpToDate>
  <CharactersWithSpaces>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2023-04-11T14:45:27Z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F230A3A635F0415FAD56C4076ED6AEB5</vt:lpwstr>
  </property>
</Properties>
</file>