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6DA9" w14:textId="77777777" w:rsidR="00D73E40" w:rsidRDefault="00D73E4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F78C8EE" w14:textId="77777777" w:rsidR="00D73E40" w:rsidRDefault="005042A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E8F32F" wp14:editId="2BC629AB">
                <wp:simplePos x="0" y="0"/>
                <wp:positionH relativeFrom="column">
                  <wp:posOffset>752475</wp:posOffset>
                </wp:positionH>
                <wp:positionV relativeFrom="paragraph">
                  <wp:posOffset>6349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1FED6" w14:textId="77777777" w:rsidR="00D73E40" w:rsidRDefault="005042A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1E29FCC2" w14:textId="77777777" w:rsidR="00D73E40" w:rsidRPr="007B1332" w:rsidRDefault="00B871C7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7B1332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Wed Wabbit </w:t>
                            </w:r>
                            <w:r w:rsidR="00525479" w:rsidRPr="007B1332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by </w:t>
                            </w:r>
                            <w:proofErr w:type="spellStart"/>
                            <w:r w:rsidRPr="007B1332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Lissa</w:t>
                            </w:r>
                            <w:proofErr w:type="spellEnd"/>
                            <w:r w:rsidRPr="007B1332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 Evans</w:t>
                            </w:r>
                          </w:p>
                          <w:p w14:paraId="4BD26DFA" w14:textId="77777777" w:rsidR="00D73E40" w:rsidRDefault="00D73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8F3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9.7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" fillcolor="white [3201]" strokecolor="#f79646 [3209]" strokeweight="2pt">
                <v:textbox>
                  <w:txbxContent>
                    <w:p w14:paraId="07D1FED6" w14:textId="77777777" w:rsidR="00D73E40" w:rsidRDefault="005042A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1E29FCC2" w14:textId="77777777" w:rsidR="00D73E40" w:rsidRPr="007B1332" w:rsidRDefault="00B871C7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7B1332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Wed Wabbit </w:t>
                      </w:r>
                      <w:r w:rsidR="00525479" w:rsidRPr="007B1332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by </w:t>
                      </w:r>
                      <w:proofErr w:type="spellStart"/>
                      <w:r w:rsidRPr="007B1332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Lissa</w:t>
                      </w:r>
                      <w:proofErr w:type="spellEnd"/>
                      <w:r w:rsidRPr="007B1332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 Evans</w:t>
                      </w:r>
                    </w:p>
                    <w:p w14:paraId="4BD26DFA" w14:textId="77777777" w:rsidR="00D73E40" w:rsidRDefault="00D73E40"/>
                  </w:txbxContent>
                </v:textbox>
              </v:shape>
            </w:pict>
          </mc:Fallback>
        </mc:AlternateContent>
      </w:r>
    </w:p>
    <w:p w14:paraId="67C138D0" w14:textId="77777777"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7AAD620B" w14:textId="77777777"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8974212" w14:textId="77777777"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DCE92F8" w14:textId="77777777" w:rsidR="00D73E40" w:rsidRDefault="005042AA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39458F" wp14:editId="6C2E60E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62BC90" w14:textId="77777777" w:rsidR="003E24E9" w:rsidRPr="007154B9" w:rsidRDefault="003E24E9" w:rsidP="007154B9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EE8A133" w14:textId="5BFFB49A" w:rsidR="003E24E9" w:rsidRPr="007154B9" w:rsidRDefault="00B871C7" w:rsidP="007154B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On page 24, </w:t>
                            </w:r>
                            <w:proofErr w:type="spellStart"/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Fidge</w:t>
                            </w:r>
                            <w:proofErr w:type="spellEnd"/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is handed the bag containing Minnie’s toys. Feeling very angry</w:t>
                            </w:r>
                            <w:r w:rsidR="007B1332"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she blames the toys for her sister’s accident. Why do you thin</w:t>
                            </w:r>
                            <w:r w:rsidR="00750164"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k she did this and is anyone </w:t>
                            </w:r>
                            <w:proofErr w:type="gramStart"/>
                            <w:r w:rsidR="00750164"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actually to</w:t>
                            </w:r>
                            <w:proofErr w:type="gramEnd"/>
                            <w:r w:rsidR="00750164"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blame?</w:t>
                            </w:r>
                          </w:p>
                          <w:p w14:paraId="7BC0583A" w14:textId="77777777" w:rsidR="007154B9" w:rsidRPr="007154B9" w:rsidRDefault="007154B9" w:rsidP="007154B9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D7D06E7" w14:textId="1D059292" w:rsidR="003E24E9" w:rsidRPr="007154B9" w:rsidRDefault="00750164" w:rsidP="007154B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Did you have any </w:t>
                            </w:r>
                            <w:proofErr w:type="spellStart"/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favou</w:t>
                            </w:r>
                            <w:r w:rsidR="00B871C7"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rite</w:t>
                            </w:r>
                            <w:proofErr w:type="spellEnd"/>
                            <w:r w:rsidR="00B871C7"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toys as a small child? If you can’t remember ask a family member, they might </w:t>
                            </w:r>
                            <w:proofErr w:type="gramStart"/>
                            <w:r w:rsidR="00B871C7"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remember</w:t>
                            </w:r>
                            <w:proofErr w:type="gramEnd"/>
                            <w:r w:rsidR="00B871C7"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or they may sti</w:t>
                            </w:r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ll have that toy. Bring them in</w:t>
                            </w:r>
                            <w:r w:rsidR="00B871C7"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to the group’s next meeting or draw a picture if you don’t still have it and share your toy stories with the group.</w:t>
                            </w:r>
                          </w:p>
                          <w:p w14:paraId="79D4BB49" w14:textId="77777777" w:rsidR="007154B9" w:rsidRPr="007154B9" w:rsidRDefault="007154B9" w:rsidP="007154B9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07EC2FA" w14:textId="1B970B94" w:rsidR="00CB73DB" w:rsidRPr="007154B9" w:rsidRDefault="00B871C7" w:rsidP="007154B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Graham and </w:t>
                            </w:r>
                            <w:proofErr w:type="spellStart"/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Fidge</w:t>
                            </w:r>
                            <w:proofErr w:type="spellEnd"/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are dealing with many issues of their own. Discuss what you think some of these issues are and t</w:t>
                            </w:r>
                            <w:bookmarkStart w:id="0" w:name="_GoBack"/>
                            <w:bookmarkEnd w:id="0"/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he impact it has on them and the people around them. As a group think and talk about why the characteristics of the two main characters are so important to this story</w:t>
                            </w:r>
                            <w:r w:rsid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</w:p>
                          <w:p w14:paraId="0CA3FD64" w14:textId="77777777" w:rsidR="007154B9" w:rsidRPr="007154B9" w:rsidRDefault="007154B9" w:rsidP="007154B9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A0AE2C9" w14:textId="544E4B05" w:rsidR="00B871C7" w:rsidRPr="007154B9" w:rsidRDefault="00B871C7" w:rsidP="007154B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Many of the characters in this story have a lesson to learn. As a group, pick some characters and discuss what you think they have learnt.</w:t>
                            </w:r>
                          </w:p>
                          <w:p w14:paraId="5AA0EBB0" w14:textId="77777777" w:rsidR="007154B9" w:rsidRPr="007154B9" w:rsidRDefault="007154B9" w:rsidP="007154B9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EAB1D80" w14:textId="77777777" w:rsidR="00CB73DB" w:rsidRPr="007154B9" w:rsidRDefault="00B871C7" w:rsidP="007154B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On page</w:t>
                            </w:r>
                            <w:r w:rsidR="00D34316"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1</w:t>
                            </w:r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49</w:t>
                            </w:r>
                            <w:r w:rsidR="00D34316"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Ella begins a table to look at the </w:t>
                            </w:r>
                            <w:proofErr w:type="spellStart"/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Wimblies</w:t>
                            </w:r>
                            <w:proofErr w:type="spellEnd"/>
                            <w:r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and solve the prophecy. Discuss this and talk about why this might be a good way </w:t>
                            </w:r>
                            <w:r w:rsidR="00CA780B"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to look at aspects of life but also look at others. Remember, what Ella also says on page</w:t>
                            </w:r>
                            <w:r w:rsidR="00D34316"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</w:t>
                            </w:r>
                            <w:r w:rsidR="00CA780B"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150-151 about choosing positive options. The completed table is on pages 166-167</w:t>
                            </w:r>
                            <w:r w:rsidR="00750164"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to help you</w:t>
                            </w:r>
                            <w:r w:rsidR="00CA780B"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  <w:r w:rsidR="00B2344F" w:rsidRPr="007154B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14:paraId="2597813B" w14:textId="77777777" w:rsidR="00D73E40" w:rsidRDefault="005042AA">
                            <w:pPr>
                              <w:spacing w:after="0" w:line="240" w:lineRule="auto"/>
                              <w:ind w:left="42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</w:p>
                          <w:p w14:paraId="40458415" w14:textId="77777777"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45E8F6B1" w14:textId="77777777"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9458F"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14:paraId="2862BC90" w14:textId="77777777" w:rsidR="003E24E9" w:rsidRPr="007154B9" w:rsidRDefault="003E24E9" w:rsidP="007154B9">
                      <w:pPr>
                        <w:tabs>
                          <w:tab w:val="left" w:pos="78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EE8A133" w14:textId="5BFFB49A" w:rsidR="003E24E9" w:rsidRPr="007154B9" w:rsidRDefault="00B871C7" w:rsidP="007154B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On page 24, </w:t>
                      </w:r>
                      <w:proofErr w:type="spellStart"/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Fidge</w:t>
                      </w:r>
                      <w:proofErr w:type="spellEnd"/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is handed the bag containing Minnie’s toys. Feeling very angry</w:t>
                      </w:r>
                      <w:r w:rsidR="007B1332"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she blames the toys for her sister’s accident. Why do you thin</w:t>
                      </w:r>
                      <w:r w:rsidR="00750164"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k she did this and is anyone </w:t>
                      </w:r>
                      <w:proofErr w:type="gramStart"/>
                      <w:r w:rsidR="00750164"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actually to</w:t>
                      </w:r>
                      <w:proofErr w:type="gramEnd"/>
                      <w:r w:rsidR="00750164"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blame?</w:t>
                      </w:r>
                    </w:p>
                    <w:p w14:paraId="7BC0583A" w14:textId="77777777" w:rsidR="007154B9" w:rsidRPr="007154B9" w:rsidRDefault="007154B9" w:rsidP="007154B9">
                      <w:pPr>
                        <w:tabs>
                          <w:tab w:val="left" w:pos="780"/>
                        </w:tabs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D7D06E7" w14:textId="1D059292" w:rsidR="003E24E9" w:rsidRPr="007154B9" w:rsidRDefault="00750164" w:rsidP="007154B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Did you have any </w:t>
                      </w:r>
                      <w:proofErr w:type="spellStart"/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favou</w:t>
                      </w:r>
                      <w:r w:rsidR="00B871C7"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rite</w:t>
                      </w:r>
                      <w:proofErr w:type="spellEnd"/>
                      <w:r w:rsidR="00B871C7"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toys as a small child? If you can’t remember ask a family member, they might </w:t>
                      </w:r>
                      <w:proofErr w:type="gramStart"/>
                      <w:r w:rsidR="00B871C7"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remember</w:t>
                      </w:r>
                      <w:proofErr w:type="gramEnd"/>
                      <w:r w:rsidR="00B871C7"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or they may sti</w:t>
                      </w:r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ll have that toy. Bring them in</w:t>
                      </w:r>
                      <w:r w:rsidR="00B871C7"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to the group’s next meeting or draw a picture if you don’t still have it and share your toy stories with the group.</w:t>
                      </w:r>
                    </w:p>
                    <w:p w14:paraId="79D4BB49" w14:textId="77777777" w:rsidR="007154B9" w:rsidRPr="007154B9" w:rsidRDefault="007154B9" w:rsidP="007154B9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07EC2FA" w14:textId="1B970B94" w:rsidR="00CB73DB" w:rsidRPr="007154B9" w:rsidRDefault="00B871C7" w:rsidP="007154B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Graham and </w:t>
                      </w:r>
                      <w:proofErr w:type="spellStart"/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Fidge</w:t>
                      </w:r>
                      <w:proofErr w:type="spellEnd"/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are dealing with many issues of their own. Discuss what you think some of these issues are and t</w:t>
                      </w:r>
                      <w:bookmarkStart w:id="1" w:name="_GoBack"/>
                      <w:bookmarkEnd w:id="1"/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he impact it has on them and the people around them. As a group think and talk about why the characteristics of the two main characters are so important to this story</w:t>
                      </w:r>
                      <w:r w:rsid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</w:p>
                    <w:p w14:paraId="0CA3FD64" w14:textId="77777777" w:rsidR="007154B9" w:rsidRPr="007154B9" w:rsidRDefault="007154B9" w:rsidP="007154B9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A0AE2C9" w14:textId="544E4B05" w:rsidR="00B871C7" w:rsidRPr="007154B9" w:rsidRDefault="00B871C7" w:rsidP="007154B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Many of the characters in this story have a lesson to learn. As a group, pick some characters and discuss what you think they have learnt.</w:t>
                      </w:r>
                    </w:p>
                    <w:p w14:paraId="5AA0EBB0" w14:textId="77777777" w:rsidR="007154B9" w:rsidRPr="007154B9" w:rsidRDefault="007154B9" w:rsidP="007154B9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EAB1D80" w14:textId="77777777" w:rsidR="00CB73DB" w:rsidRPr="007154B9" w:rsidRDefault="00B871C7" w:rsidP="007154B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On page</w:t>
                      </w:r>
                      <w:r w:rsidR="00D34316"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1</w:t>
                      </w:r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49</w:t>
                      </w:r>
                      <w:r w:rsidR="00D34316"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Ella begins a table to look at the </w:t>
                      </w:r>
                      <w:proofErr w:type="spellStart"/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Wimblies</w:t>
                      </w:r>
                      <w:proofErr w:type="spellEnd"/>
                      <w:r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and solve the prophecy. Discuss this and talk about why this might be a good way </w:t>
                      </w:r>
                      <w:r w:rsidR="00CA780B"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to look at aspects of life but also look at others. Remember, what Ella also says on page</w:t>
                      </w:r>
                      <w:r w:rsidR="00D34316"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</w:t>
                      </w:r>
                      <w:r w:rsidR="00CA780B"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150-151 about choosing positive options. The completed table is on pages 166-167</w:t>
                      </w:r>
                      <w:r w:rsidR="00750164"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to help you</w:t>
                      </w:r>
                      <w:r w:rsidR="00CA780B"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  <w:r w:rsidR="00B2344F" w:rsidRPr="007154B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</w:p>
                    <w:p w14:paraId="2597813B" w14:textId="77777777" w:rsidR="00D73E40" w:rsidRDefault="005042AA">
                      <w:pPr>
                        <w:spacing w:after="0" w:line="240" w:lineRule="auto"/>
                        <w:ind w:left="42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  <w:t xml:space="preserve"> </w:t>
                      </w:r>
                    </w:p>
                    <w:p w14:paraId="40458415" w14:textId="77777777"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45E8F6B1" w14:textId="77777777"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3E40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E17B" w14:textId="77777777" w:rsidR="004125FE" w:rsidRDefault="005042AA">
      <w:pPr>
        <w:spacing w:after="0" w:line="240" w:lineRule="auto"/>
      </w:pPr>
      <w:r>
        <w:separator/>
      </w:r>
    </w:p>
  </w:endnote>
  <w:endnote w:type="continuationSeparator" w:id="0">
    <w:p w14:paraId="343BC2BC" w14:textId="77777777" w:rsidR="004125FE" w:rsidRDefault="005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F40F" w14:textId="77777777" w:rsidR="00D73E40" w:rsidRDefault="005042AA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CF3B940" wp14:editId="1D169EAC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78129" w14:textId="77777777" w:rsidR="004125FE" w:rsidRDefault="005042AA">
      <w:pPr>
        <w:spacing w:after="0" w:line="240" w:lineRule="auto"/>
      </w:pPr>
      <w:r>
        <w:separator/>
      </w:r>
    </w:p>
  </w:footnote>
  <w:footnote w:type="continuationSeparator" w:id="0">
    <w:p w14:paraId="216BE735" w14:textId="77777777" w:rsidR="004125FE" w:rsidRDefault="0050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755F" w14:textId="77777777" w:rsidR="00D73E40" w:rsidRDefault="005042AA">
    <w:pPr>
      <w:pStyle w:val="Header"/>
      <w:rPr>
        <w:color w:val="FF0000"/>
      </w:rPr>
    </w:pPr>
    <w:r>
      <w:rPr>
        <w:color w:val="FF0000"/>
      </w:rPr>
      <w:t xml:space="preserve"> </w:t>
    </w:r>
  </w:p>
  <w:p w14:paraId="1DBFB2A1" w14:textId="77777777" w:rsidR="00D73E40" w:rsidRDefault="005042A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622B6B3D" wp14:editId="36BDDDD3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47A5E" w14:textId="77777777" w:rsidR="00D73E40" w:rsidRDefault="005042A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67E04AA"/>
    <w:multiLevelType w:val="hybridMultilevel"/>
    <w:tmpl w:val="2A7A107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0681B"/>
    <w:rsid w:val="00317F98"/>
    <w:rsid w:val="00361DEC"/>
    <w:rsid w:val="003E24E9"/>
    <w:rsid w:val="003F27CE"/>
    <w:rsid w:val="004125FE"/>
    <w:rsid w:val="00423FBF"/>
    <w:rsid w:val="0042737B"/>
    <w:rsid w:val="0048458F"/>
    <w:rsid w:val="00490A93"/>
    <w:rsid w:val="005042AA"/>
    <w:rsid w:val="00514DB3"/>
    <w:rsid w:val="0052207C"/>
    <w:rsid w:val="00523E12"/>
    <w:rsid w:val="00525479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54B9"/>
    <w:rsid w:val="00716531"/>
    <w:rsid w:val="00744570"/>
    <w:rsid w:val="00750164"/>
    <w:rsid w:val="00765174"/>
    <w:rsid w:val="007A708E"/>
    <w:rsid w:val="007B1332"/>
    <w:rsid w:val="007F17CA"/>
    <w:rsid w:val="008240D2"/>
    <w:rsid w:val="00883293"/>
    <w:rsid w:val="00890E68"/>
    <w:rsid w:val="008B1BEB"/>
    <w:rsid w:val="008E30B5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94E1B"/>
    <w:rsid w:val="00AB4671"/>
    <w:rsid w:val="00AC546A"/>
    <w:rsid w:val="00AC71EC"/>
    <w:rsid w:val="00B03ACD"/>
    <w:rsid w:val="00B2344F"/>
    <w:rsid w:val="00B24BE2"/>
    <w:rsid w:val="00B652C6"/>
    <w:rsid w:val="00B871C7"/>
    <w:rsid w:val="00B95729"/>
    <w:rsid w:val="00B962AF"/>
    <w:rsid w:val="00C60A7D"/>
    <w:rsid w:val="00C640F9"/>
    <w:rsid w:val="00C7699E"/>
    <w:rsid w:val="00C9247B"/>
    <w:rsid w:val="00CA780B"/>
    <w:rsid w:val="00CB73DB"/>
    <w:rsid w:val="00D25AD6"/>
    <w:rsid w:val="00D34316"/>
    <w:rsid w:val="00D73E40"/>
    <w:rsid w:val="00D901EF"/>
    <w:rsid w:val="00DD7E8B"/>
    <w:rsid w:val="00DE0394"/>
    <w:rsid w:val="00F67933"/>
    <w:rsid w:val="00FA0860"/>
    <w:rsid w:val="00FA0C08"/>
    <w:rsid w:val="00FA6D40"/>
    <w:rsid w:val="00FA7126"/>
    <w:rsid w:val="0ADF3E97"/>
    <w:rsid w:val="1FB54D03"/>
    <w:rsid w:val="44F871ED"/>
    <w:rsid w:val="4FB55CF2"/>
    <w:rsid w:val="54CE212A"/>
    <w:rsid w:val="5920544D"/>
    <w:rsid w:val="69B80732"/>
    <w:rsid w:val="6F6C46F1"/>
    <w:rsid w:val="777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7C8888"/>
  <w15:docId w15:val="{9FAFCDBA-CDC0-491D-833D-5735A5F6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3E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7E4569-8B25-45B1-8185-8D42C081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2016-04-01T13:06:00Z</cp:lastPrinted>
  <dcterms:created xsi:type="dcterms:W3CDTF">2019-09-03T21:07:00Z</dcterms:created>
  <dcterms:modified xsi:type="dcterms:W3CDTF">2020-03-27T11:26:00Z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